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EB" w:rsidRPr="00CE181B" w:rsidRDefault="002920EB" w:rsidP="002920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81B">
        <w:rPr>
          <w:rFonts w:ascii="Times New Roman" w:hAnsi="Times New Roman" w:cs="Times New Roman"/>
          <w:sz w:val="28"/>
          <w:szCs w:val="28"/>
        </w:rPr>
        <w:t>ЖИТЕЛИ ДРУГИХ РЕГИОНОВ СТАЛИ ЧАЩЕ ОФОРМЛЯТЬ НЕДВИЖИМОСТЬ В КУРГАНСКОЙ ОБЛАСТИ ЭКСТЕРРИТОРИАЛЬНО</w:t>
      </w:r>
    </w:p>
    <w:p w:rsidR="002920EB" w:rsidRDefault="002920EB" w:rsidP="00CE18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1B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CE181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E181B">
        <w:rPr>
          <w:rFonts w:ascii="Times New Roman" w:hAnsi="Times New Roman" w:cs="Times New Roman"/>
          <w:sz w:val="28"/>
          <w:szCs w:val="28"/>
        </w:rPr>
        <w:t xml:space="preserve"> по Курганской области</w:t>
      </w:r>
      <w:r w:rsidRPr="00CE181B">
        <w:rPr>
          <w:rFonts w:ascii="Times New Roman" w:hAnsi="Times New Roman" w:cs="Times New Roman"/>
          <w:sz w:val="28"/>
          <w:szCs w:val="28"/>
        </w:rPr>
        <w:t xml:space="preserve"> </w:t>
      </w:r>
      <w:r w:rsidR="00CE181B" w:rsidRPr="00CE181B">
        <w:rPr>
          <w:rFonts w:ascii="Times New Roman" w:hAnsi="Times New Roman" w:cs="Times New Roman"/>
          <w:sz w:val="28"/>
          <w:szCs w:val="28"/>
        </w:rPr>
        <w:t>сообщает, что</w:t>
      </w:r>
      <w:r w:rsidRPr="00CE181B">
        <w:rPr>
          <w:rFonts w:ascii="Times New Roman" w:hAnsi="Times New Roman" w:cs="Times New Roman"/>
          <w:sz w:val="28"/>
          <w:szCs w:val="28"/>
        </w:rPr>
        <w:t xml:space="preserve"> в </w:t>
      </w:r>
      <w:r w:rsidRPr="00CE181B">
        <w:rPr>
          <w:rFonts w:ascii="Times New Roman" w:hAnsi="Times New Roman" w:cs="Times New Roman"/>
          <w:sz w:val="28"/>
          <w:szCs w:val="28"/>
        </w:rPr>
        <w:t>январе-мае 2020 года</w:t>
      </w:r>
      <w:r w:rsidRPr="00CE181B">
        <w:rPr>
          <w:rFonts w:ascii="Times New Roman" w:hAnsi="Times New Roman" w:cs="Times New Roman"/>
          <w:sz w:val="28"/>
          <w:szCs w:val="28"/>
        </w:rPr>
        <w:t xml:space="preserve"> </w:t>
      </w:r>
      <w:r w:rsidR="00CE181B" w:rsidRPr="00CE181B">
        <w:rPr>
          <w:rFonts w:ascii="Times New Roman" w:hAnsi="Times New Roman" w:cs="Times New Roman"/>
          <w:sz w:val="28"/>
          <w:szCs w:val="28"/>
        </w:rPr>
        <w:t>в</w:t>
      </w:r>
      <w:r w:rsidRPr="00CE181B">
        <w:rPr>
          <w:rFonts w:ascii="Times New Roman" w:hAnsi="Times New Roman" w:cs="Times New Roman"/>
          <w:sz w:val="28"/>
          <w:szCs w:val="28"/>
        </w:rPr>
        <w:t xml:space="preserve"> отношении об</w:t>
      </w:r>
      <w:bookmarkStart w:id="0" w:name="_GoBack"/>
      <w:bookmarkEnd w:id="0"/>
      <w:r w:rsidRPr="00CE181B">
        <w:rPr>
          <w:rFonts w:ascii="Times New Roman" w:hAnsi="Times New Roman" w:cs="Times New Roman"/>
          <w:sz w:val="28"/>
          <w:szCs w:val="28"/>
        </w:rPr>
        <w:t xml:space="preserve">ъектов недвижимости, расположенных на территории Курганской области, поступило </w:t>
      </w:r>
      <w:r w:rsidR="00CE181B" w:rsidRPr="00CE181B">
        <w:rPr>
          <w:rFonts w:ascii="Times New Roman" w:hAnsi="Times New Roman" w:cs="Times New Roman"/>
          <w:b/>
          <w:sz w:val="28"/>
          <w:szCs w:val="28"/>
        </w:rPr>
        <w:t>1723</w:t>
      </w:r>
      <w:r w:rsidRPr="00CE181B">
        <w:rPr>
          <w:rFonts w:ascii="Times New Roman" w:hAnsi="Times New Roman" w:cs="Times New Roman"/>
          <w:b/>
          <w:sz w:val="28"/>
          <w:szCs w:val="28"/>
        </w:rPr>
        <w:t xml:space="preserve"> обращения</w:t>
      </w:r>
      <w:r w:rsidR="00CE181B" w:rsidRPr="00CE181B">
        <w:rPr>
          <w:rFonts w:ascii="Times New Roman" w:hAnsi="Times New Roman" w:cs="Times New Roman"/>
          <w:sz w:val="28"/>
          <w:szCs w:val="28"/>
        </w:rPr>
        <w:t xml:space="preserve"> </w:t>
      </w:r>
      <w:r w:rsidR="00CE181B" w:rsidRPr="00CE181B">
        <w:rPr>
          <w:rFonts w:ascii="Times New Roman" w:hAnsi="Times New Roman" w:cs="Times New Roman"/>
          <w:sz w:val="28"/>
          <w:szCs w:val="28"/>
        </w:rPr>
        <w:t>на постановку недвижимости на государственный кадастровый учет и регистрацию прав по экстерриториальному принцип</w:t>
      </w:r>
      <w:r w:rsidR="00CE181B">
        <w:rPr>
          <w:rFonts w:ascii="Times New Roman" w:hAnsi="Times New Roman" w:cs="Times New Roman"/>
          <w:sz w:val="28"/>
          <w:szCs w:val="28"/>
        </w:rPr>
        <w:t>у</w:t>
      </w:r>
      <w:r w:rsidR="00CE181B" w:rsidRPr="00CE181B">
        <w:rPr>
          <w:rFonts w:ascii="Times New Roman" w:hAnsi="Times New Roman" w:cs="Times New Roman"/>
          <w:sz w:val="28"/>
          <w:szCs w:val="28"/>
        </w:rPr>
        <w:t>.</w:t>
      </w:r>
      <w:r w:rsidRPr="00CE181B">
        <w:rPr>
          <w:rFonts w:ascii="Times New Roman" w:hAnsi="Times New Roman" w:cs="Times New Roman"/>
          <w:sz w:val="28"/>
          <w:szCs w:val="28"/>
        </w:rPr>
        <w:t xml:space="preserve"> </w:t>
      </w:r>
      <w:r w:rsidR="00CE181B" w:rsidRPr="00CE181B">
        <w:rPr>
          <w:rFonts w:ascii="Times New Roman" w:hAnsi="Times New Roman" w:cs="Times New Roman"/>
          <w:sz w:val="28"/>
          <w:szCs w:val="28"/>
        </w:rPr>
        <w:t>Т</w:t>
      </w:r>
      <w:r w:rsidRPr="00CE181B">
        <w:rPr>
          <w:rFonts w:ascii="Times New Roman" w:hAnsi="Times New Roman" w:cs="Times New Roman"/>
          <w:sz w:val="28"/>
          <w:szCs w:val="28"/>
        </w:rPr>
        <w:t xml:space="preserve">о есть более </w:t>
      </w:r>
      <w:r w:rsidR="00CE181B">
        <w:rPr>
          <w:rFonts w:ascii="Times New Roman" w:hAnsi="Times New Roman" w:cs="Times New Roman"/>
          <w:sz w:val="28"/>
          <w:szCs w:val="28"/>
        </w:rPr>
        <w:t>полутора тысяч</w:t>
      </w:r>
      <w:r w:rsidRPr="00CE181B">
        <w:rPr>
          <w:rFonts w:ascii="Times New Roman" w:hAnsi="Times New Roman" w:cs="Times New Roman"/>
          <w:sz w:val="28"/>
          <w:szCs w:val="28"/>
        </w:rPr>
        <w:t xml:space="preserve"> россиян из других регионов страны оформили права на местную </w:t>
      </w:r>
      <w:r w:rsidR="00CE181B" w:rsidRPr="00CE181B">
        <w:rPr>
          <w:rFonts w:ascii="Times New Roman" w:hAnsi="Times New Roman" w:cs="Times New Roman"/>
          <w:sz w:val="28"/>
          <w:szCs w:val="28"/>
        </w:rPr>
        <w:t>недвижимость,</w:t>
      </w:r>
      <w:r w:rsidRPr="00CE181B">
        <w:rPr>
          <w:rFonts w:ascii="Times New Roman" w:hAnsi="Times New Roman" w:cs="Times New Roman"/>
          <w:sz w:val="28"/>
          <w:szCs w:val="28"/>
        </w:rPr>
        <w:t xml:space="preserve"> не приезжая в Зауралье.</w:t>
      </w:r>
      <w:r w:rsidR="00CE181B" w:rsidRPr="00CE181B">
        <w:t xml:space="preserve"> </w:t>
      </w:r>
      <w:r w:rsidR="00CE181B" w:rsidRPr="00CE181B">
        <w:rPr>
          <w:rFonts w:ascii="Times New Roman" w:hAnsi="Times New Roman" w:cs="Times New Roman"/>
          <w:sz w:val="28"/>
          <w:szCs w:val="28"/>
        </w:rPr>
        <w:t xml:space="preserve">Это почти в 2,5 раза больше, </w:t>
      </w:r>
      <w:r w:rsidR="00CE181B" w:rsidRPr="00CE181B">
        <w:rPr>
          <w:rFonts w:ascii="Times New Roman" w:hAnsi="Times New Roman" w:cs="Times New Roman"/>
          <w:sz w:val="28"/>
          <w:szCs w:val="28"/>
        </w:rPr>
        <w:t>чем в</w:t>
      </w:r>
      <w:r w:rsidR="00CE181B" w:rsidRPr="00CE181B">
        <w:rPr>
          <w:rFonts w:ascii="Times New Roman" w:hAnsi="Times New Roman" w:cs="Times New Roman"/>
          <w:sz w:val="28"/>
          <w:szCs w:val="28"/>
        </w:rPr>
        <w:t xml:space="preserve"> аналогичном периоде </w:t>
      </w:r>
      <w:r w:rsidR="00CE181B" w:rsidRPr="00CE181B">
        <w:rPr>
          <w:rFonts w:ascii="Times New Roman" w:hAnsi="Times New Roman" w:cs="Times New Roman"/>
          <w:sz w:val="28"/>
          <w:szCs w:val="28"/>
        </w:rPr>
        <w:t>прошлого</w:t>
      </w:r>
      <w:r w:rsidR="00CE181B" w:rsidRPr="00CE181B">
        <w:rPr>
          <w:rFonts w:ascii="Times New Roman" w:hAnsi="Times New Roman" w:cs="Times New Roman"/>
          <w:sz w:val="28"/>
          <w:szCs w:val="28"/>
        </w:rPr>
        <w:t xml:space="preserve"> года (726).</w:t>
      </w:r>
    </w:p>
    <w:p w:rsidR="00CE181B" w:rsidRPr="00CE181B" w:rsidRDefault="00CE181B" w:rsidP="00CE18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Курганцы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интересовались недвижимостью в других регионах чуть меньше чем в прошлом году. </w:t>
      </w:r>
      <w:r>
        <w:rPr>
          <w:rFonts w:ascii="Times New Roman" w:hAnsi="Times New Roman" w:cs="Times New Roman"/>
          <w:sz w:val="28"/>
          <w:szCs w:val="28"/>
          <w:lang w:eastAsia="x-none"/>
        </w:rPr>
        <w:t>Д</w:t>
      </w:r>
      <w:r w:rsidRPr="00CE181B">
        <w:rPr>
          <w:rFonts w:ascii="Times New Roman" w:hAnsi="Times New Roman" w:cs="Times New Roman"/>
          <w:sz w:val="28"/>
          <w:szCs w:val="28"/>
          <w:lang w:eastAsia="x-none"/>
        </w:rPr>
        <w:t xml:space="preserve">ля направления в обработку в иные регионы принято </w:t>
      </w:r>
      <w:r w:rsidRPr="00CE181B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392 обращения </w:t>
      </w:r>
      <w:r w:rsidRPr="00CE181B">
        <w:rPr>
          <w:rFonts w:ascii="Times New Roman" w:hAnsi="Times New Roman" w:cs="Times New Roman"/>
          <w:sz w:val="28"/>
          <w:szCs w:val="28"/>
          <w:lang w:eastAsia="x-none"/>
        </w:rPr>
        <w:t>(71,9% к АППГ – 545)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CE181B" w:rsidRDefault="00CE181B" w:rsidP="00CE1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в</w:t>
      </w:r>
      <w:r w:rsidRPr="00CE181B">
        <w:rPr>
          <w:rFonts w:ascii="Times New Roman" w:hAnsi="Times New Roman" w:cs="Times New Roman"/>
          <w:sz w:val="28"/>
          <w:szCs w:val="28"/>
        </w:rPr>
        <w:t xml:space="preserve">озможность подачи документов по экстерриториальному принципу появилась у россиян </w:t>
      </w:r>
      <w:r>
        <w:rPr>
          <w:rFonts w:ascii="Times New Roman" w:hAnsi="Times New Roman" w:cs="Times New Roman"/>
          <w:sz w:val="28"/>
          <w:szCs w:val="28"/>
        </w:rPr>
        <w:t>более трех лет</w:t>
      </w:r>
      <w:r w:rsidRPr="00CE181B">
        <w:rPr>
          <w:rFonts w:ascii="Times New Roman" w:hAnsi="Times New Roman" w:cs="Times New Roman"/>
          <w:sz w:val="28"/>
          <w:szCs w:val="28"/>
        </w:rPr>
        <w:t xml:space="preserve"> назад, с 1 января 2017 года, с вступлением в силу Федерального закона №218-ФЗ» «О государственной регистрации недвижимости».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81B" w:rsidRDefault="00CE181B" w:rsidP="00CE18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</w:t>
      </w:r>
      <w:r w:rsidRPr="00CE181B">
        <w:rPr>
          <w:rFonts w:ascii="Times New Roman" w:hAnsi="Times New Roman" w:cs="Times New Roman"/>
          <w:sz w:val="28"/>
          <w:szCs w:val="28"/>
        </w:rPr>
        <w:t>кстерриториальный принцип 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81B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81B">
        <w:rPr>
          <w:rFonts w:ascii="Times New Roman" w:hAnsi="Times New Roman" w:cs="Times New Roman"/>
          <w:sz w:val="28"/>
          <w:szCs w:val="28"/>
        </w:rPr>
        <w:t xml:space="preserve">подразумевает возможность поставить на учет и зарегистрировать права на любое недвижимое имущество, находящееся в другом регионе РФ, не покидая </w:t>
      </w:r>
      <w:r>
        <w:rPr>
          <w:rFonts w:ascii="Times New Roman" w:hAnsi="Times New Roman" w:cs="Times New Roman"/>
          <w:sz w:val="28"/>
          <w:szCs w:val="28"/>
        </w:rPr>
        <w:t xml:space="preserve">места своего проживания, что, конечно, </w:t>
      </w:r>
      <w:r w:rsidRPr="00CE181B">
        <w:rPr>
          <w:rFonts w:ascii="Times New Roman" w:hAnsi="Times New Roman" w:cs="Times New Roman"/>
          <w:sz w:val="28"/>
          <w:szCs w:val="28"/>
        </w:rPr>
        <w:t>существенно экономит время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81B">
        <w:rPr>
          <w:rFonts w:ascii="Times New Roman" w:hAnsi="Times New Roman" w:cs="Times New Roman"/>
          <w:sz w:val="28"/>
          <w:szCs w:val="28"/>
        </w:rPr>
        <w:t xml:space="preserve">средства граждан.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E181B">
        <w:rPr>
          <w:rFonts w:ascii="Times New Roman" w:hAnsi="Times New Roman" w:cs="Times New Roman"/>
          <w:sz w:val="28"/>
          <w:szCs w:val="28"/>
        </w:rPr>
        <w:t>а территории Курганской области за регистрацией по экстерриториальному принципу можно обратиться в офисы приема документов Кадастровой палаты. В Кургане офис расположен по адресу: ул. Автозаводская, 5», - отметил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E181B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CE181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E181B">
        <w:rPr>
          <w:rFonts w:ascii="Times New Roman" w:hAnsi="Times New Roman" w:cs="Times New Roman"/>
          <w:sz w:val="28"/>
          <w:szCs w:val="28"/>
        </w:rPr>
        <w:t xml:space="preserve"> по Курганской области </w:t>
      </w:r>
      <w:r>
        <w:rPr>
          <w:rFonts w:ascii="Times New Roman" w:hAnsi="Times New Roman" w:cs="Times New Roman"/>
          <w:sz w:val="28"/>
          <w:szCs w:val="28"/>
        </w:rPr>
        <w:t>Олег Молчанов</w:t>
      </w:r>
      <w:r w:rsidRPr="00CE181B">
        <w:rPr>
          <w:rFonts w:ascii="Times New Roman" w:hAnsi="Times New Roman" w:cs="Times New Roman"/>
          <w:sz w:val="28"/>
          <w:szCs w:val="28"/>
        </w:rPr>
        <w:t>.</w:t>
      </w:r>
    </w:p>
    <w:p w:rsidR="00CE181B" w:rsidRPr="00CE181B" w:rsidRDefault="00CE181B" w:rsidP="00CE18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81B">
        <w:rPr>
          <w:rFonts w:ascii="Times New Roman" w:hAnsi="Times New Roman" w:cs="Times New Roman"/>
          <w:sz w:val="28"/>
          <w:szCs w:val="28"/>
        </w:rPr>
        <w:br/>
      </w:r>
    </w:p>
    <w:p w:rsidR="00CE181B" w:rsidRPr="00CE181B" w:rsidRDefault="00CE181B" w:rsidP="00CE181B">
      <w:pPr>
        <w:widowControl w:val="0"/>
        <w:ind w:firstLine="567"/>
        <w:rPr>
          <w:rFonts w:ascii="Tahoma" w:hAnsi="Tahoma" w:cs="Tahoma"/>
          <w:b/>
          <w:iCs/>
          <w:color w:val="FF0000"/>
          <w:sz w:val="28"/>
          <w:szCs w:val="28"/>
        </w:rPr>
      </w:pPr>
      <w:r w:rsidRPr="00CE181B">
        <w:rPr>
          <w:rFonts w:ascii="Tahoma" w:hAnsi="Tahoma" w:cs="Tahoma"/>
          <w:b/>
          <w:iCs/>
          <w:color w:val="FF0000"/>
          <w:sz w:val="28"/>
          <w:szCs w:val="28"/>
        </w:rPr>
        <w:t>Экстерриториальный прием</w:t>
      </w:r>
    </w:p>
    <w:p w:rsidR="00CE181B" w:rsidRPr="00CE181B" w:rsidRDefault="00CE181B" w:rsidP="00CE181B">
      <w:pPr>
        <w:widowControl w:val="0"/>
        <w:ind w:firstLine="567"/>
        <w:jc w:val="both"/>
        <w:rPr>
          <w:rFonts w:ascii="Tahoma" w:hAnsi="Tahoma" w:cs="Tahoma"/>
          <w:color w:val="FF0000"/>
          <w:sz w:val="28"/>
          <w:szCs w:val="28"/>
          <w:lang w:eastAsia="x-none"/>
        </w:rPr>
      </w:pPr>
      <w:r w:rsidRPr="00CE181B">
        <w:rPr>
          <w:rFonts w:ascii="Tahoma" w:hAnsi="Tahoma" w:cs="Tahoma"/>
          <w:color w:val="FF0000"/>
          <w:sz w:val="28"/>
          <w:szCs w:val="28"/>
          <w:lang w:eastAsia="x-none"/>
        </w:rPr>
        <w:t xml:space="preserve">- </w:t>
      </w:r>
      <w:r w:rsidRPr="00CE181B">
        <w:rPr>
          <w:rFonts w:ascii="Tahoma" w:hAnsi="Tahoma" w:cs="Tahoma"/>
          <w:i/>
          <w:color w:val="FF0000"/>
          <w:sz w:val="28"/>
          <w:szCs w:val="28"/>
          <w:lang w:eastAsia="x-none"/>
        </w:rPr>
        <w:t>для направления в обработку в иные регионы</w:t>
      </w:r>
      <w:r w:rsidRPr="00CE181B">
        <w:rPr>
          <w:rFonts w:ascii="Tahoma" w:hAnsi="Tahoma" w:cs="Tahoma"/>
          <w:color w:val="FF0000"/>
          <w:sz w:val="28"/>
          <w:szCs w:val="28"/>
          <w:lang w:eastAsia="x-none"/>
        </w:rPr>
        <w:t xml:space="preserve"> Филиалом принято </w:t>
      </w:r>
      <w:r w:rsidRPr="00CE181B">
        <w:rPr>
          <w:rFonts w:ascii="Tahoma" w:hAnsi="Tahoma" w:cs="Tahoma"/>
          <w:b/>
          <w:color w:val="FF0000"/>
          <w:sz w:val="28"/>
          <w:szCs w:val="28"/>
          <w:lang w:eastAsia="x-none"/>
        </w:rPr>
        <w:lastRenderedPageBreak/>
        <w:t xml:space="preserve">392 обращения </w:t>
      </w:r>
      <w:r w:rsidRPr="00CE181B">
        <w:rPr>
          <w:rFonts w:ascii="Tahoma" w:hAnsi="Tahoma" w:cs="Tahoma"/>
          <w:i/>
          <w:color w:val="FF0000"/>
          <w:sz w:val="28"/>
          <w:szCs w:val="28"/>
          <w:lang w:eastAsia="x-none"/>
        </w:rPr>
        <w:t>(71,9% к АППГ – 545)</w:t>
      </w:r>
      <w:r w:rsidRPr="00CE181B">
        <w:rPr>
          <w:rFonts w:ascii="Tahoma" w:hAnsi="Tahoma" w:cs="Tahoma"/>
          <w:color w:val="FF0000"/>
          <w:sz w:val="28"/>
          <w:szCs w:val="28"/>
          <w:lang w:eastAsia="x-none"/>
        </w:rPr>
        <w:t xml:space="preserve">, из них: по государственной регистрации прав – 339 </w:t>
      </w:r>
      <w:r w:rsidRPr="00CE181B">
        <w:rPr>
          <w:rFonts w:ascii="Tahoma" w:hAnsi="Tahoma" w:cs="Tahoma"/>
          <w:i/>
          <w:color w:val="FF0000"/>
          <w:sz w:val="28"/>
          <w:szCs w:val="28"/>
          <w:lang w:eastAsia="x-none"/>
        </w:rPr>
        <w:t>(72% к АППГ – 471)</w:t>
      </w:r>
      <w:r w:rsidRPr="00CE181B">
        <w:rPr>
          <w:rFonts w:ascii="Tahoma" w:hAnsi="Tahoma" w:cs="Tahoma"/>
          <w:color w:val="FF0000"/>
          <w:sz w:val="28"/>
          <w:szCs w:val="28"/>
          <w:lang w:eastAsia="x-none"/>
        </w:rPr>
        <w:t xml:space="preserve">, по государственному кадастровому учету – 15 </w:t>
      </w:r>
      <w:r w:rsidRPr="00CE181B">
        <w:rPr>
          <w:rFonts w:ascii="Tahoma" w:hAnsi="Tahoma" w:cs="Tahoma"/>
          <w:i/>
          <w:color w:val="FF0000"/>
          <w:sz w:val="28"/>
          <w:szCs w:val="28"/>
          <w:lang w:eastAsia="x-none"/>
        </w:rPr>
        <w:t>(93,8% к АППГ – 16)</w:t>
      </w:r>
      <w:r w:rsidRPr="00CE181B">
        <w:rPr>
          <w:rFonts w:ascii="Tahoma" w:hAnsi="Tahoma" w:cs="Tahoma"/>
          <w:color w:val="FF0000"/>
          <w:sz w:val="28"/>
          <w:szCs w:val="28"/>
          <w:lang w:eastAsia="x-none"/>
        </w:rPr>
        <w:t xml:space="preserve">, по единой процедуре – 38 </w:t>
      </w:r>
      <w:r w:rsidRPr="00CE181B">
        <w:rPr>
          <w:rFonts w:ascii="Tahoma" w:hAnsi="Tahoma" w:cs="Tahoma"/>
          <w:i/>
          <w:color w:val="FF0000"/>
          <w:sz w:val="28"/>
          <w:szCs w:val="28"/>
          <w:lang w:eastAsia="x-none"/>
        </w:rPr>
        <w:t>(65,5% к АППГ – 58)</w:t>
      </w:r>
      <w:r w:rsidRPr="00CE181B">
        <w:rPr>
          <w:rFonts w:ascii="Tahoma" w:hAnsi="Tahoma" w:cs="Tahoma"/>
          <w:color w:val="FF0000"/>
          <w:sz w:val="28"/>
          <w:szCs w:val="28"/>
          <w:lang w:eastAsia="x-none"/>
        </w:rPr>
        <w:t>;</w:t>
      </w:r>
    </w:p>
    <w:p w:rsidR="00CE181B" w:rsidRPr="00CE181B" w:rsidRDefault="00CE181B" w:rsidP="00CE181B">
      <w:pPr>
        <w:widowControl w:val="0"/>
        <w:ind w:firstLine="567"/>
        <w:jc w:val="both"/>
        <w:rPr>
          <w:rFonts w:ascii="Tahoma" w:hAnsi="Tahoma" w:cs="Tahoma"/>
          <w:color w:val="FF0000"/>
          <w:sz w:val="28"/>
          <w:szCs w:val="28"/>
          <w:lang w:eastAsia="x-none"/>
        </w:rPr>
      </w:pPr>
      <w:r w:rsidRPr="00CE181B">
        <w:rPr>
          <w:rFonts w:ascii="Tahoma" w:hAnsi="Tahoma" w:cs="Tahoma"/>
          <w:color w:val="FF0000"/>
          <w:sz w:val="28"/>
          <w:szCs w:val="28"/>
          <w:lang w:eastAsia="x-none"/>
        </w:rPr>
        <w:t xml:space="preserve">- </w:t>
      </w:r>
      <w:r w:rsidRPr="00CE181B">
        <w:rPr>
          <w:rFonts w:ascii="Tahoma" w:hAnsi="Tahoma" w:cs="Tahoma"/>
          <w:i/>
          <w:color w:val="FF0000"/>
          <w:sz w:val="28"/>
          <w:szCs w:val="28"/>
          <w:lang w:eastAsia="x-none"/>
        </w:rPr>
        <w:t>для обработки в Управлении</w:t>
      </w:r>
      <w:r w:rsidRPr="00CE181B">
        <w:rPr>
          <w:rFonts w:ascii="Tahoma" w:hAnsi="Tahoma" w:cs="Tahoma"/>
          <w:color w:val="FF0000"/>
          <w:sz w:val="28"/>
          <w:szCs w:val="28"/>
          <w:lang w:eastAsia="x-none"/>
        </w:rPr>
        <w:t xml:space="preserve"> поступило </w:t>
      </w:r>
      <w:r w:rsidRPr="00CE181B">
        <w:rPr>
          <w:rFonts w:ascii="Tahoma" w:hAnsi="Tahoma" w:cs="Tahoma"/>
          <w:b/>
          <w:color w:val="FF0000"/>
          <w:sz w:val="28"/>
          <w:szCs w:val="28"/>
        </w:rPr>
        <w:t xml:space="preserve">1723 </w:t>
      </w:r>
      <w:r w:rsidRPr="00CE181B">
        <w:rPr>
          <w:rFonts w:ascii="Tahoma" w:hAnsi="Tahoma" w:cs="Tahoma"/>
          <w:b/>
          <w:color w:val="FF0000"/>
          <w:sz w:val="28"/>
          <w:szCs w:val="28"/>
          <w:lang w:eastAsia="x-none"/>
        </w:rPr>
        <w:t>обращения</w:t>
      </w:r>
      <w:r w:rsidRPr="00CE181B">
        <w:rPr>
          <w:rFonts w:ascii="Tahoma" w:hAnsi="Tahoma" w:cs="Tahoma"/>
          <w:color w:val="FF0000"/>
          <w:sz w:val="28"/>
          <w:szCs w:val="28"/>
          <w:lang w:eastAsia="x-none"/>
        </w:rPr>
        <w:t xml:space="preserve"> </w:t>
      </w:r>
      <w:r w:rsidRPr="00CE181B">
        <w:rPr>
          <w:rFonts w:ascii="Tahoma" w:hAnsi="Tahoma" w:cs="Tahoma"/>
          <w:i/>
          <w:color w:val="FF0000"/>
          <w:sz w:val="28"/>
          <w:szCs w:val="28"/>
          <w:lang w:eastAsia="x-none"/>
        </w:rPr>
        <w:t>(рост в 2,4 раза к АППГ – 726)</w:t>
      </w:r>
      <w:r w:rsidRPr="00CE181B">
        <w:rPr>
          <w:rFonts w:ascii="Tahoma" w:hAnsi="Tahoma" w:cs="Tahoma"/>
          <w:color w:val="FF0000"/>
          <w:sz w:val="28"/>
          <w:szCs w:val="28"/>
          <w:lang w:eastAsia="x-none"/>
        </w:rPr>
        <w:t xml:space="preserve">, из них: по государственной регистрации прав – 1620 </w:t>
      </w:r>
      <w:r w:rsidRPr="00CE181B">
        <w:rPr>
          <w:rFonts w:ascii="Tahoma" w:hAnsi="Tahoma" w:cs="Tahoma"/>
          <w:i/>
          <w:color w:val="FF0000"/>
          <w:sz w:val="28"/>
          <w:szCs w:val="28"/>
          <w:lang w:eastAsia="x-none"/>
        </w:rPr>
        <w:t>(рост в 2,5 раза к АППГ – 638)</w:t>
      </w:r>
      <w:r w:rsidRPr="00CE181B">
        <w:rPr>
          <w:rFonts w:ascii="Tahoma" w:hAnsi="Tahoma" w:cs="Tahoma"/>
          <w:color w:val="FF0000"/>
          <w:sz w:val="28"/>
          <w:szCs w:val="28"/>
          <w:lang w:eastAsia="x-none"/>
        </w:rPr>
        <w:t>, по государственному кадастровому учету – 83</w:t>
      </w:r>
      <w:r w:rsidRPr="00CE181B">
        <w:rPr>
          <w:rFonts w:ascii="Tahoma" w:hAnsi="Tahoma" w:cs="Tahoma"/>
          <w:i/>
          <w:color w:val="FF0000"/>
          <w:sz w:val="28"/>
          <w:szCs w:val="28"/>
          <w:lang w:eastAsia="x-none"/>
        </w:rPr>
        <w:t xml:space="preserve"> (129,7% к АППГ – 64)</w:t>
      </w:r>
      <w:r w:rsidRPr="00CE181B">
        <w:rPr>
          <w:rFonts w:ascii="Tahoma" w:hAnsi="Tahoma" w:cs="Tahoma"/>
          <w:color w:val="FF0000"/>
          <w:sz w:val="28"/>
          <w:szCs w:val="28"/>
          <w:lang w:eastAsia="x-none"/>
        </w:rPr>
        <w:t xml:space="preserve">, по единой процедуре – 20 </w:t>
      </w:r>
      <w:r w:rsidRPr="00CE181B">
        <w:rPr>
          <w:rFonts w:ascii="Tahoma" w:hAnsi="Tahoma" w:cs="Tahoma"/>
          <w:i/>
          <w:color w:val="FF0000"/>
          <w:sz w:val="28"/>
          <w:szCs w:val="28"/>
          <w:lang w:eastAsia="x-none"/>
        </w:rPr>
        <w:t>(83,3% к АППГ – 24)</w:t>
      </w:r>
      <w:r w:rsidRPr="00CE181B">
        <w:rPr>
          <w:rFonts w:ascii="Tahoma" w:hAnsi="Tahoma" w:cs="Tahoma"/>
          <w:color w:val="FF0000"/>
          <w:sz w:val="28"/>
          <w:szCs w:val="28"/>
          <w:lang w:eastAsia="x-none"/>
        </w:rPr>
        <w:t>.</w:t>
      </w:r>
    </w:p>
    <w:p w:rsidR="004B3A7D" w:rsidRPr="002920EB" w:rsidRDefault="00ED1934" w:rsidP="002920EB">
      <w:pPr>
        <w:jc w:val="both"/>
      </w:pPr>
      <w:r w:rsidRPr="002920EB">
        <w:br/>
      </w:r>
    </w:p>
    <w:sectPr w:rsidR="004B3A7D" w:rsidRPr="0029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31"/>
    <w:rsid w:val="002920EB"/>
    <w:rsid w:val="004B3A7D"/>
    <w:rsid w:val="007B637C"/>
    <w:rsid w:val="00CE181B"/>
    <w:rsid w:val="00E82331"/>
    <w:rsid w:val="00E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E811"/>
  <w15:chartTrackingRefBased/>
  <w15:docId w15:val="{04B9A48D-6B81-4291-B693-C8300580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1934"/>
    <w:rPr>
      <w:i/>
      <w:iCs/>
    </w:rPr>
  </w:style>
  <w:style w:type="character" w:styleId="a4">
    <w:name w:val="Hyperlink"/>
    <w:basedOn w:val="a0"/>
    <w:uiPriority w:val="99"/>
    <w:semiHidden/>
    <w:unhideWhenUsed/>
    <w:rsid w:val="00ED1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2020-06-16T06:17:00Z</dcterms:created>
  <dcterms:modified xsi:type="dcterms:W3CDTF">2020-06-16T06:37:00Z</dcterms:modified>
</cp:coreProperties>
</file>