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Что такое реакция Манту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noProof/>
          <w:color w:val="7DBE37"/>
          <w:sz w:val="33"/>
          <w:szCs w:val="33"/>
          <w:lang w:eastAsia="ru-RU"/>
        </w:rPr>
        <w:drawing>
          <wp:anchor distT="95250" distB="95250" distL="95250" distR="95250" simplePos="0" relativeHeight="251659264" behindDoc="0" locked="0" layoutInCell="1" allowOverlap="0" wp14:anchorId="7F6DAD56" wp14:editId="2D9FB16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295525"/>
            <wp:effectExtent l="0" t="0" r="0" b="9525"/>
            <wp:wrapSquare wrapText="bothSides"/>
            <wp:docPr id="1" name="Рисунок 1" descr="Что такое реакция Ма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реакция Ман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Реакция Манту - это основной метод профилактического обследования детей на туберкулез, иммунологический тест, который показывает, есть ли в организме туберкулезная инфекция.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Реакция Манту – это реакция организма на введение туберкулина. В месте введения препарата в кожу возникает специфическое воспаление, вызванное инфильтрацией лимфоцитами – специфическими клетками крови, ответственными за клеточный иммунитет (в отличие от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антительного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иммунного ответа, при котором основную роль играют белки-антитела). Фрагменты микобактерий как бы притягивают к себе лимфоциты из пролегающих поблизости кровеносных сосудов кожи. Но в игру вступают не все лимфоциты, а только те, что уже полностью или частично «знакомы» с палочкой Коха. Если организм уже имел шанс «познакомится» с настоящей микобактерией туберкулеза, то таких лимфоцитов будет больше, воспаление интенсивнее, а реакция будет «положительной» (есть инфицирование палочкой Коха). Естественно, положительная реакция означает, что воспаление превышает таковое, вызываемое самим уколом и некий диагностический порог. Измеряя линейкой диаметр папулы (воспалительной «бляшки» или «пуговки») можно оценить напряженность иммунитета к туберкулезной палочке.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Строго говоря, реакция организма на туберкулин является одной из разновидностей аллергии (ибо туберкулин сам по себе не является полноценным антигеном, но скорее аллергеном).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Первая Манту ставится в год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Ежегодному обследованию с помощью внутрикожной пробы Манту подлежат практически здоровые дети и подростки, начиная с 12-месячного возраста, независимо от результатов предыдущей пробы.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И тут начинаются противоречия. Доказано, что постановка пробы не имеет смысла у детей младше 12 месяцев, ибо результат пробы будет недостоверным или неточным, в связи с возрастными особенностями развития иммунной системы – реакция может быть ложноотрицательной. Дети младше 6 месяцев неспособны адекватно отвечать на пробу Манту. Но при этом существует следующая практика: детям, не привитым в период новорожденности, проба Манту ставится 2 раза в год, начиная с 6-месячного возраста, до проведения ребенку прививки вакциной БЦЖ. 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Уход за «пуговкой»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После введения туберкулина образуется специфическое выбухание верхнего слоя кожи более известное как «пуговка».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Неправильное обращение с местом постановки пробы может повлиять на результат реакции, а это не нужно ни пациенту, ни врачу. До момента оценки результатов не надо мазать пуговку зеленкой, перекисью. Очень важно не допускать контакта места пробы с водой и другими жидкостями. Не нужно заклеивать ранку лейкопластырем – под ним кожа может потеть. Не допускайте того, чтобы ребенок расчесывал место введения туберкулина. После оценки результатов, если образовался гнойничок или </w:t>
      </w: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lastRenderedPageBreak/>
        <w:t>язвочка, ее можно обрабатывать как любую другую ранку, с применением всех традиционных средств.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Что может повлиять на реакцию Манту?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Реакция организма на туберкулин является одной из разновидностей аллергии. Именно поэтому имеющиеся аллергические заболевания могут влиять на результат пробы Манту - это и пищевая или медикаментозная аллергия, и аллергический дерматит. На результат реакции могут влиять недавно перенесенные инфекции, хроническая патология, иммунитет к нетуберкулезным микобактериям, возраст. Не последнюю роль играют и другие сопутствующие факторы: индивидуальные характеристики чувствительности кожи, фаза менструального цикла у девушек, сбалансированность питания ребенка. Даже глисты способствуют положительной реакции Манту. Воздействие на результаты пробы оказывают неблагоприятные экологические факторы: повышенный радиационный фон, вредные выбросы химических производств.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На результаты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туберкулинодиагностики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также могут влиять различные нарушения в методике ее проведения: транспортировке и хранении туберкулина, при применении нестандартного и некачественного инструментария, при погрешностях в технике постановки и чтения реакций Манту.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Также в Инструкции указывается на возможную индивидуальную непереносимость туберкулина, при которой, по логике, реакция Манту просто противопоказана  (именно это я и пытаюсь доказать медикам в отношении своего ребенка – на вводимый туберкулин поднимается высокая температура, наблюдается общая вялость, плохое самочувствие, расстройство желудочно-кишечного тракта). 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С учетом вышеперечисленных факторов, в изолированном виде, сама по себе положительная реакция Манту не является 100% доказательством инфицирования туберкулезом.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ru-RU"/>
        </w:rPr>
        <w:t>Противопоказания к проведению пробы Манту:</w:t>
      </w:r>
    </w:p>
    <w:p w:rsidR="00F360A5" w:rsidRPr="00F360A5" w:rsidRDefault="00F360A5" w:rsidP="00F360A5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кожные заболевания</w:t>
      </w:r>
    </w:p>
    <w:p w:rsidR="00F360A5" w:rsidRPr="00F360A5" w:rsidRDefault="00F360A5" w:rsidP="00F360A5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острые и хронические инфекционные и соматические заболевания в стадии обострения (проба Манту ставится через 1 месяц после исчезновения всех клинических симптомов или сразу после снятия карантина)</w:t>
      </w:r>
    </w:p>
    <w:p w:rsidR="00F360A5" w:rsidRPr="00F360A5" w:rsidRDefault="00F360A5" w:rsidP="00F360A5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аллергические состояния</w:t>
      </w:r>
    </w:p>
    <w:p w:rsidR="00F360A5" w:rsidRPr="00F360A5" w:rsidRDefault="00F360A5" w:rsidP="00F360A5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эпилепсия.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Не допускается проведение пробы в тех коллективах, где имеется карантин по детским инфекциям - проба Манту ставится через 1 месяц после исчезновения всех клинических симптомов или сразу после снятия карантина.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Ввиду того, что вырабатываемый в результате прививок иммунитет может повлиять на результат пробы Манту, ее постановка не должны проводиться в один день с какими бы то ни было прививками. В противном случае увеличивается риск ложноположительных реакций. В случаях, если по тем или иным причинам пробу Манту производят не до, а после проведения различных профилактических прививок,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туберкулинодиагностика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должна осуществляться не ранее чем через 1 месяц после прививки.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Оценка результатов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noProof/>
          <w:color w:val="7DBE37"/>
          <w:sz w:val="33"/>
          <w:szCs w:val="33"/>
          <w:lang w:eastAsia="ru-RU"/>
        </w:rPr>
        <w:drawing>
          <wp:anchor distT="95250" distB="95250" distL="95250" distR="95250" simplePos="0" relativeHeight="251660288" behindDoc="0" locked="0" layoutInCell="1" allowOverlap="0" wp14:anchorId="409D89A5" wp14:editId="76B64D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66900"/>
            <wp:effectExtent l="0" t="0" r="0" b="0"/>
            <wp:wrapSquare wrapText="bothSides"/>
            <wp:docPr id="2" name="Рисунок 2" descr="Оценка резуль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ценка результа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После введения туберкулина, на 2-3 день образуется специфическое уплотнение кожи. На вид это возвышающийся над кожей, немного покрасневший округлый участок кожи, от обычного покраснения на ощупь отличающийся незначительным уплотнением. Чем больше в организме </w:t>
      </w: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lastRenderedPageBreak/>
        <w:t>знающих о туберкулезной палочке иммунных клеток, тем больше будет размер уплотнения.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Результат пробы Манту оценивают через 72 часа. Начинают с внешнего осмотра места введения туберкулина. При этом можно установить отсутствие реакции, гиперемию или инфильтрат. Необходимо уметь отличать инфильтрат от гиперемии. Для этого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пальпаторно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определяют толщину складки кожи над здоровым участком, затем - на месте введения туберкулина. При инфильтрате кожная складка утолщена по сравнению со здоровым участком, при гиперемии одинаковая. Затем прозрачной бесцветной миллиметровой линейкой измеряют и регистрируют поперечный (по отношению к оси руки) размер инфильтрата. Не допускается применять для измерения термометр и другие «подручные материалы» вроде миллиметровой бумаги и самодельных линеек из рентгеновской пленки. Внимательно проследите, чтобы в отношении вашего ребенка не было допущено халатного отношения, и оценка результатов пробы проводилась специалистом в хорошо освещенном помещении, строго прозрачной линейкой!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Измеряется только размер уплотнения. Покраснение вокруг уплотнения не является признаком иммунитета к туберкулезу или инфицированности, однако оно регистрируется, когда нет папулы.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ru-RU"/>
        </w:rPr>
        <w:t>Реакция считается:</w:t>
      </w:r>
    </w:p>
    <w:p w:rsidR="00F360A5" w:rsidRPr="00F360A5" w:rsidRDefault="00F360A5" w:rsidP="00F360A5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отрицательной</w:t>
      </w: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при полном отсутствии уплотнения или при наличии только </w:t>
      </w:r>
      <w:proofErr w:type="spellStart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уколочной</w:t>
      </w:r>
      <w:proofErr w:type="spellEnd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реакции (0-1 мм);</w:t>
      </w:r>
    </w:p>
    <w:p w:rsidR="00F360A5" w:rsidRPr="00F360A5" w:rsidRDefault="00F360A5" w:rsidP="00F360A5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F360A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сомнительной</w:t>
      </w: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при “пуговке” размером 2-4 мм и при покраснении любого размера без уплотнения;</w:t>
      </w:r>
      <w:proofErr w:type="gramEnd"/>
    </w:p>
    <w:p w:rsidR="00F360A5" w:rsidRPr="00F360A5" w:rsidRDefault="00F360A5" w:rsidP="00F360A5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F360A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положительной</w:t>
      </w:r>
      <w:proofErr w:type="gramEnd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при наличии выраженного уплотнения диаметром 5 мм и более. </w:t>
      </w:r>
      <w:proofErr w:type="gramStart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Слабо положительными</w:t>
      </w:r>
      <w:proofErr w:type="gramEnd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считаются реакции с размером “пуговки” 5-9 мм в диаметре; средней интенсивности - 10-14 мм; выраженными - 15-16 мм;</w:t>
      </w:r>
    </w:p>
    <w:p w:rsidR="00F360A5" w:rsidRPr="00F360A5" w:rsidRDefault="00F360A5" w:rsidP="00F360A5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очень сильно выраженной</w:t>
      </w: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 детей и подростков считается реакция с диаметром уплотнения 17 мм и более.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Когда необходимо обратиться к фтизиатру?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Сама по себе положительная реакция Манту не является 100-процентным доказательством наличия туберкулеза. Однако есть моменты, которые свидетельствуют об опасности:</w:t>
      </w:r>
    </w:p>
    <w:p w:rsidR="00F360A5" w:rsidRPr="00F360A5" w:rsidRDefault="00F360A5" w:rsidP="00F360A5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чувствительность к туберкулину из года в год увеличивается по </w:t>
      </w:r>
      <w:proofErr w:type="gramStart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нарастающей</w:t>
      </w:r>
      <w:proofErr w:type="gramEnd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F360A5" w:rsidRPr="00F360A5" w:rsidRDefault="00F360A5" w:rsidP="00F360A5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резкий “скачок”, при котором уплотнение увеличивается на 6 мм и более (например, в прошлом году “пуговка” была размером 10 мм, а в этом - 16);</w:t>
      </w:r>
    </w:p>
    <w:p w:rsidR="00F360A5" w:rsidRPr="00F360A5" w:rsidRDefault="00F360A5" w:rsidP="00F360A5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недавнее пребывание в регионе с повышенной циркуляцией туберкулеза;</w:t>
      </w:r>
    </w:p>
    <w:p w:rsidR="00F360A5" w:rsidRPr="00F360A5" w:rsidRDefault="00F360A5" w:rsidP="00F360A5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даже временный контакт с больным открытой формой туберкулеза;</w:t>
      </w:r>
    </w:p>
    <w:p w:rsidR="00F360A5" w:rsidRPr="00F360A5" w:rsidRDefault="00F360A5" w:rsidP="00F360A5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наличие в семье родственников, болевших или инфицированных туберкулезом.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В таких случаях ребенка направляют на консультацию к детскому фтизиатру.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Реакция считается отрицательной при полном отсутствии инфильтрата (гиперемии) или при наличии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уколочной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реакции (0-1 мм); сомнительной - при инфильтрате (папула) размером 2-4 мм при только гиперемии любого размера без инфильтрата; положительной - при наличии выраженного инфильтрата (папула) диаметром 5 мм и более. </w:t>
      </w:r>
      <w:proofErr w:type="gram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Слабо положительными</w:t>
      </w:r>
      <w:proofErr w:type="gram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считаются реакции с размером инфильтрата 5-9 мм в диаметре; средней интенсивности - 10-14 мм; выраженными - 15-16 мм.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Гиперергическими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у детей и подростков считаются реакции с диаметром инфильтрата 17 мм и более, у взрослых - 21 мм и более, а также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везикулонекротические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реакции, независимо от размера инфильтрата, лимфангоит, дочерние отсевы, регионарный лимфаденит.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Default="00F360A5" w:rsidP="00F360A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</w:p>
    <w:p w:rsidR="00F360A5" w:rsidRDefault="00F360A5" w:rsidP="00F360A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</w:p>
    <w:p w:rsid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lastRenderedPageBreak/>
        <w:t xml:space="preserve">Если у вашего ребенка </w:t>
      </w:r>
      <w:proofErr w:type="gramStart"/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положительная</w:t>
      </w:r>
      <w:proofErr w:type="gramEnd"/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 xml:space="preserve"> </w:t>
      </w:r>
    </w:p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проба Манту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В условиях обязательной вакцинации и ревакцинации БЦЖ положительные реакции на пробу Манту могут быть следствием как инфекционной, так и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послевакцинальной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аллергии. Поэтому прежде чем приступить к решению вопроса о характере аллергии, необходимо установить наличие и размер кожного рубца на месте введения вакцины БЦЖ; сроки, прошедшие с момента вакцинации (ревакцинации) и сопоставить их с размером инфильтрата и предыдущими результатами туберкулиновых проб.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Положительная реакция на туберкулин у двух - трехлетнего ребенка может быть проявлением поствакцинальной аллергии. В зависимости от индивидуальной реактивности организма реакция на пробу Манту через 1-1,5 года после вакцинации БЦЖ может быть отрицательной, сомнительной и у 60 процентов детей положительной. Положительные реакции как проявления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послевакцинальной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аллергии развиваются через 6-8 недель после вакцинации и достигают наибольшей интенсивности к 1-2 годам. Это обусловлено тем, что к этому периоду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послевакцинальный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иммунитет достигает максимальной выраженности. Поэтому в первые два года жизни после вакцинации БЦЖ положительные реакции на пробу Манту могут быть диаметром от 5 до 16 мм. При рубце 2-4 мм длительность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поствакционального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иммунитета составляет 3-4 года. Таким детям Манту рекомендуется ставить на фоне приема десенсибилизирующих сре</w:t>
      </w:r>
      <w:proofErr w:type="gram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дств в т</w:t>
      </w:r>
      <w:proofErr w:type="gram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ечение 7 дней (5 дней до постановки и 2 дня после нее).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Если проба Манту показала положительный результат, то педиатр направит вас на консультацию фтизиатра. Необходимо исключить все влияющие факторы: вакцинация БЦЖ и другими вакцинами, недавняя инфекция, аллергия к компонентам туберкулина, аллергия неясной этиологии.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Заключение "аллергия неясной этиологии" делается в том случае, когда невозможно решить вопрос о характере аллергии (инфекционная или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послевакцинальная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). Для уточнения этиологии аллергии дети направляются в ПТД, где после проведенного обследования их ставят на учет по "О" группе диспансерного наблюдения. Через 6 месяцев пробу Манту повторяют. Если размер реакции остается прежним или увеличивается, аллергия считается инфекционной. Снижение чувствительности к туберкулину свидетельствует о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послевакцинальной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аллергии.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Важным признаком, позволяющим провести различие между поствакцинальным иммунитетом и инфицированием, как причинами положительной реакции, является наличие пигментации (коричневатое окрашивание места, где была папула) спустя 1-2 недели после постановки пробы Манту. </w:t>
      </w:r>
      <w:proofErr w:type="gram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Папула, появляющаяся после вакцинации обычно не имеет</w:t>
      </w:r>
      <w:proofErr w:type="gram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четких контуров, бледно-розовая и не оставляет пигментации. Постинфекционная папула более интенсивно окрашена, имеет четкие контуры и оставляет пигментацию, сохраняющуюся около 2 недель.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5"/>
        <w:gridCol w:w="2010"/>
        <w:gridCol w:w="2769"/>
        <w:gridCol w:w="3126"/>
        <w:gridCol w:w="2715"/>
      </w:tblGrid>
      <w:tr w:rsidR="00F360A5" w:rsidRPr="00F360A5" w:rsidTr="00F360A5">
        <w:tc>
          <w:tcPr>
            <w:tcW w:w="0" w:type="auto"/>
            <w:vMerge w:val="restart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b/>
                <w:bCs/>
                <w:color w:val="333333"/>
                <w:spacing w:val="2"/>
                <w:sz w:val="20"/>
                <w:szCs w:val="20"/>
                <w:lang w:eastAsia="ru-RU"/>
              </w:rPr>
              <w:t>Срок, прошедший после прививки БЦЖ</w:t>
            </w:r>
          </w:p>
        </w:tc>
        <w:tc>
          <w:tcPr>
            <w:tcW w:w="0" w:type="auto"/>
            <w:vMerge w:val="restart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b/>
                <w:bCs/>
                <w:color w:val="333333"/>
                <w:spacing w:val="2"/>
                <w:sz w:val="20"/>
                <w:szCs w:val="20"/>
                <w:lang w:eastAsia="ru-RU"/>
              </w:rPr>
              <w:t>Размер рубчика после прививки БЦЖ</w:t>
            </w:r>
          </w:p>
        </w:tc>
        <w:tc>
          <w:tcPr>
            <w:tcW w:w="0" w:type="auto"/>
            <w:gridSpan w:val="3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b/>
                <w:bCs/>
                <w:color w:val="333333"/>
                <w:spacing w:val="2"/>
                <w:sz w:val="20"/>
                <w:szCs w:val="20"/>
                <w:lang w:eastAsia="ru-RU"/>
              </w:rPr>
              <w:t>Размер папулы при постановке пробы Манту</w:t>
            </w:r>
          </w:p>
        </w:tc>
      </w:tr>
      <w:tr w:rsidR="00F360A5" w:rsidRPr="00F360A5" w:rsidTr="00F360A5">
        <w:tc>
          <w:tcPr>
            <w:tcW w:w="0" w:type="auto"/>
            <w:vMerge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vAlign w:val="center"/>
            <w:hideMark/>
          </w:tcPr>
          <w:p w:rsidR="00F360A5" w:rsidRPr="00F360A5" w:rsidRDefault="00F360A5" w:rsidP="00F360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vAlign w:val="center"/>
            <w:hideMark/>
          </w:tcPr>
          <w:p w:rsidR="00F360A5" w:rsidRPr="00F360A5" w:rsidRDefault="00F360A5" w:rsidP="00F360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Поствакцинальный иммунитет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Причина неясна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Инфицирование</w:t>
            </w:r>
          </w:p>
        </w:tc>
      </w:tr>
      <w:tr w:rsidR="00F360A5" w:rsidRPr="00F360A5" w:rsidTr="00F360A5">
        <w:tc>
          <w:tcPr>
            <w:tcW w:w="0" w:type="auto"/>
            <w:vMerge w:val="restart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6-10 мм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 </w:t>
            </w:r>
          </w:p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5-15 мм</w:t>
            </w:r>
          </w:p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16 мм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более 17 мм</w:t>
            </w:r>
          </w:p>
        </w:tc>
      </w:tr>
      <w:tr w:rsidR="00F360A5" w:rsidRPr="00F360A5" w:rsidTr="00F360A5">
        <w:tc>
          <w:tcPr>
            <w:tcW w:w="0" w:type="auto"/>
            <w:vMerge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vAlign w:val="center"/>
            <w:hideMark/>
          </w:tcPr>
          <w:p w:rsidR="00F360A5" w:rsidRPr="00F360A5" w:rsidRDefault="00F360A5" w:rsidP="00F360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2-5 мм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5-11 мм</w:t>
            </w:r>
          </w:p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12-15 мм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более 16 мм</w:t>
            </w:r>
          </w:p>
        </w:tc>
      </w:tr>
      <w:tr w:rsidR="00F360A5" w:rsidRPr="00F360A5" w:rsidTr="00F360A5">
        <w:tc>
          <w:tcPr>
            <w:tcW w:w="0" w:type="auto"/>
            <w:vMerge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vAlign w:val="center"/>
            <w:hideMark/>
          </w:tcPr>
          <w:p w:rsidR="00F360A5" w:rsidRPr="00F360A5" w:rsidRDefault="00F360A5" w:rsidP="00F360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Сомнительная</w:t>
            </w:r>
          </w:p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5-11 мм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более 12 мм</w:t>
            </w:r>
          </w:p>
        </w:tc>
      </w:tr>
      <w:tr w:rsidR="00F360A5" w:rsidRPr="00F360A5" w:rsidTr="00F360A5"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Уменьшение размера или прежний размер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Увеличение размера на 2-5 мм, если предыдущий результат был положительным</w:t>
            </w:r>
          </w:p>
        </w:tc>
        <w:tc>
          <w:tcPr>
            <w:tcW w:w="0" w:type="auto"/>
            <w:tcBorders>
              <w:top w:val="single" w:sz="6" w:space="0" w:color="E7E6E3"/>
              <w:left w:val="single" w:sz="6" w:space="0" w:color="E7E6E3"/>
              <w:bottom w:val="single" w:sz="6" w:space="0" w:color="E7E6E3"/>
              <w:right w:val="single" w:sz="6" w:space="0" w:color="E7E6E3"/>
            </w:tcBorders>
            <w:shd w:val="clear" w:color="auto" w:fill="FFFFFF"/>
            <w:tcMar>
              <w:top w:w="90" w:type="dxa"/>
              <w:left w:w="180" w:type="dxa"/>
              <w:bottom w:w="105" w:type="dxa"/>
              <w:right w:w="180" w:type="dxa"/>
            </w:tcMar>
            <w:hideMark/>
          </w:tcPr>
          <w:p w:rsidR="00F360A5" w:rsidRPr="00F360A5" w:rsidRDefault="00F360A5" w:rsidP="00F360A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 xml:space="preserve">Изменение на </w:t>
            </w:r>
            <w:proofErr w:type="gramStart"/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>положительную</w:t>
            </w:r>
            <w:proofErr w:type="gramEnd"/>
            <w:r w:rsidRPr="00F360A5">
              <w:rPr>
                <w:rFonts w:ascii="Verdana" w:eastAsia="Times New Roman" w:hAnsi="Verdana" w:cs="Times New Roman"/>
                <w:color w:val="333333"/>
                <w:spacing w:val="2"/>
                <w:sz w:val="20"/>
                <w:szCs w:val="20"/>
                <w:lang w:eastAsia="ru-RU"/>
              </w:rPr>
              <w:t xml:space="preserve"> или увеличение на 6 мм</w:t>
            </w:r>
          </w:p>
        </w:tc>
      </w:tr>
    </w:tbl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proofErr w:type="gramStart"/>
      <w:r w:rsidRPr="00F360A5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ru-RU"/>
        </w:rPr>
        <w:t>«Вираж» пробы Манту</w:t>
      </w: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– изменение (увеличение) результата пробы диаметра папулы) по сравнению с прошлогодним результатом.</w:t>
      </w:r>
      <w:proofErr w:type="gram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Является очень ценным диагностическим признаком. Критериями виража являются:</w:t>
      </w:r>
    </w:p>
    <w:p w:rsidR="00F360A5" w:rsidRPr="00F360A5" w:rsidRDefault="00F360A5" w:rsidP="00F360A5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появление впервые положительной реакции (папула 5 мм и более) после ранее отрицательной или сомнительной;</w:t>
      </w:r>
    </w:p>
    <w:p w:rsidR="00F360A5" w:rsidRPr="00F360A5" w:rsidRDefault="00F360A5" w:rsidP="00F360A5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усиление предыдущей реакции на 6 мм и более;</w:t>
      </w:r>
    </w:p>
    <w:p w:rsidR="00F360A5" w:rsidRPr="00F360A5" w:rsidRDefault="00F360A5" w:rsidP="00F360A5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гиперергическая</w:t>
      </w:r>
      <w:proofErr w:type="spellEnd"/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реакция (более 17 мм) независимо от давности вакцинации;</w:t>
      </w:r>
    </w:p>
    <w:p w:rsidR="00F360A5" w:rsidRPr="00F360A5" w:rsidRDefault="00F360A5" w:rsidP="00F360A5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реакция более 12 мм спустя 3-4 года после вакцинации БЦЖ.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Именно вираж заставляет врача думать о произошедшем в течение последнего года инфицировании. Например, если результат пробы за последние три года выглядел как 12, 12, 12, а на четвертый год был получен результат 17 мм, то с большой долей вероятности можно говорить о произошедшем инфицировании. Естественно, что при этом надо исключить все влияющие факторы – аллергию к компонентам туберкулина</w:t>
      </w:r>
      <w:r w:rsidRPr="00F360A5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ru-RU"/>
        </w:rPr>
        <w:t>, </w:t>
      </w: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аллергию на другие вещества, недавно перенесенную инфекцию, факт недавней вакцинации БЦЖ или другой вакциной менее 1 мес. назад, и т.п.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ru-RU"/>
        </w:rPr>
        <w:t>«</w:t>
      </w:r>
      <w:proofErr w:type="spellStart"/>
      <w:r w:rsidRPr="00F360A5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ru-RU"/>
        </w:rPr>
        <w:t>Бустерный</w:t>
      </w:r>
      <w:proofErr w:type="spellEnd"/>
      <w:r w:rsidRPr="00F360A5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ru-RU"/>
        </w:rPr>
        <w:t>» эффект пробы Манту</w:t>
      </w: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– эффект усиления (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boost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(англ.) – усиление), т.е. увеличения диаметра папулы при частой (чаще чем раз в год) постановке пробы. Несмотря на то, что туберкулин не является полноценным антигеном и не может вызывать формирование иммунитета, эффект по всей видимости связан с увеличением чувствительности лимфоцитов к туберкулину.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Бустерный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эффект имеет и обратную сторону – лица, инфицированные туберкулезной палочкой, с годами теряют способность реагировать на туберкулин и в конце концов результат пробы становится ложноотрицательным.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Бустерный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эффект (в обоих его проявлениях) встречается у подростков и взрослых, что, видимо, обусловлено более высокой степенью развития иммунной системы. У детей этот эффект выражен меньше, однако постановка пробы Манту чаще, чем один раз в год без явной необходимости не является желательной. Исключением из этого является необходимость в повторной пробе Манту (в сомнительных и критичных случаях), которая, согласно российским нормативным документам, проводится через 3 мес. от первой.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Для исключения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бустерного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эффекта у инфицированных микобактерией (при наличии явных факторов риска инфицирования и отсутствии реакции на пробу Манту) в США рекомендуют проводить повторную постановку пробы через 1-3 недели. У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тубинфицированных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реакция становится резко положительной, организм как бы «вспоминает» о своей чувствительности к туберкулину.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</w:p>
    <w:p w:rsidR="00F360A5" w:rsidRPr="00F360A5" w:rsidRDefault="00F360A5" w:rsidP="00F360A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 w:rsidRPr="00F360A5"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Если ставят на учет и назначают профилактическое лечение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Дети и подростки с впервые выявленным инфицированием туберкулезом обладают повышенным риском развития клинически выраженного туберкулеза - считается, что у 7-10% таких детей может развиться первичный туберкулез со всей присущей симптоматикой. Поэтому такие дети подлежат наблюдению в противотуберкулезном диспансере в течение года. В течение трех месяцев проводится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химиопрофилактика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изониазидом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. По окончанию этого периода ребенок передается под наблюдение участкового педиатра как «инфицированный более одного года».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lastRenderedPageBreak/>
        <w:t xml:space="preserve">Если у такого ребенка спустя год не выявляется признаков усиления чувствительности к туберкулину и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гиперергической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реакции, то он наблюдается педиатром на «общих основаниях». У таких детей тщательно отслеживается результат ежегодной пробы Манту. Усиление у таких детей реакции на 6 мм и более говорит об активации инфекции.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Инфицированные более одного года с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гиперергической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реакцией на туберкулин и увеличением реакции на 6 мм и более наблюдаются в тубдиспансере. Проводится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химиопрофилактика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в течение 3 месяцев.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Если результат пробы у ребенка положителен, но предыдущая проба проводилась не один, а два и более года назад, ребенок считается «инфицированным с неустановленным сроком давности». Рекомендуется проведение повторной пробы через 6 месяцев. По результатам второй пробы решается вопрос о необходимости наблюдения в тубдиспансере и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химиопрофилактике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Постановка детей на диспансерный учет у фтизиатра определена положениями Инструкции по организации диспансерного наблюдения и учета контингентом противотуберкулезных учреждений (Приложение N 7 к Приказу Минздрава России от 21 марта 2003 г. N 109, часть III Группы диспансерного наблюдения и учета детских и подростковых контингентов противотуберкулезных учреждений).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Особо здесь отмечу, что, согласно «Инструкции по применению туберкулиновых проб» постановка детей до трех лет на учет по VI группе (собственно, по которой и определяется  лечение специальными препаратами) вообще исключена! Цитирую: «Все дети (старше трех лет), у которых произошел переход ранее отрицательных туберкулиновых реакций в положительные, а также дети с усиливающейся чувствительностью к туберкулину при наличии контакта с больным туберкулезом, после исключения активного туберкулезного процесса, берутся на учет ПТД по VI группе». Старше трех лет! Это правило специально оговорено в Инструкции, однако часто нарушается на практике.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Напомню, проба Манту не является 100% достоверным средством диагностики туберкулеза, и на основании одной только положительной реакции диагноз «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тубинфицирование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» ставиться не может!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При первом визите к фтизиатру вам назначат следующие обследования – флюорография грудной клетки, микробиологический посев мокроты, обследование членов семей.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proofErr w:type="gram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Если вам назначают профилактический курс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изониазида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или др. препараты, то требуйте весь комплекс обследований, необходимых по «Инструкции по химиотерапии больных туберкулезом»:  исследование мокроты и иного доступного диагностического материала на микобактерии туберкулеза не менее чем трехкратно, исследование крови на антитела к ВИЧ, вирусам гепатита, ЭКГ,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туберкулинодиагностика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(определение порога чувствительности к туберкулину, накожная градуированная проба) и ряд других.</w:t>
      </w:r>
      <w:proofErr w:type="gramEnd"/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Препараты против туберкулезной палочки очень токсичны, пусть даже и в «профилактических дозах», которые рассчитываются на вес ребенка. Сами понимаете, что значит – «рассчитать на вес» препарат с большим количеством побочных эффектов, дети – они ведь не одинаковые механизмы, поэтому риск профилактического лечения здорового ребенка очень высок! 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Режим и методику химиотерапии определяют индивидуально с учетом факторов риска. Требуйте достоверной оценки состояния здоровья своего ребенка. Уточните рекомендации врача по приему витаминов, </w:t>
      </w:r>
      <w:proofErr w:type="spellStart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гепатопротекторов</w:t>
      </w:r>
      <w:proofErr w:type="spellEnd"/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 xml:space="preserve"> (лекарственные средства, защищающие печень) и режиму специальной диеты.</w:t>
      </w:r>
    </w:p>
    <w:p w:rsidR="00F360A5" w:rsidRPr="00F360A5" w:rsidRDefault="00F360A5" w:rsidP="00F360A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</w:pPr>
      <w:r w:rsidRPr="00F360A5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ru-RU"/>
        </w:rPr>
        <w:t> </w:t>
      </w:r>
      <w:bookmarkStart w:id="0" w:name="_GoBack"/>
      <w:bookmarkEnd w:id="0"/>
    </w:p>
    <w:sectPr w:rsidR="00F360A5" w:rsidRPr="00F3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921"/>
    <w:multiLevelType w:val="multilevel"/>
    <w:tmpl w:val="E5B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5418F"/>
    <w:multiLevelType w:val="multilevel"/>
    <w:tmpl w:val="A07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A0F07"/>
    <w:multiLevelType w:val="multilevel"/>
    <w:tmpl w:val="4C9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D3D59"/>
    <w:multiLevelType w:val="multilevel"/>
    <w:tmpl w:val="6FD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5"/>
    <w:rsid w:val="00932232"/>
    <w:rsid w:val="00F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2741</Words>
  <Characters>15626</Characters>
  <Application>Microsoft Office Word</Application>
  <DocSecurity>0</DocSecurity>
  <Lines>130</Lines>
  <Paragraphs>36</Paragraphs>
  <ScaleCrop>false</ScaleCrop>
  <Company>Home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2016-05-18T18:41:00Z</dcterms:created>
  <dcterms:modified xsi:type="dcterms:W3CDTF">2016-05-18T18:44:00Z</dcterms:modified>
</cp:coreProperties>
</file>